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标准名称：《啤酒原料质量要求 第3部分 啤酒花及其制品》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031D2B71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3430F7C"/>
    <w:rsid w:val="05F4621C"/>
    <w:rsid w:val="0EC7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86</Characters>
  <Lines>1</Lines>
  <Paragraphs>1</Paragraphs>
  <TotalTime>0</TotalTime>
  <ScaleCrop>false</ScaleCrop>
  <LinksUpToDate>false</LinksUpToDate>
  <CharactersWithSpaces>128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 </cp:lastModifiedBy>
  <dcterms:modified xsi:type="dcterms:W3CDTF">2025-02-10T03:05:56Z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eyJoZGlkIjoiN2JkY2VhODJkMGJmYzc3NTg3YzVlYTRjNzgyZjRlZTIiLCJ1c2VySWQiOiIyNjU2OTE1NTcifQ==</vt:lpwstr>
  </property>
  <property fmtid="{D5CDD505-2E9C-101B-9397-08002B2CF9AE}" pid="4" name="ICV">
    <vt:lpwstr>F50EAFCCE17846639E653029D72E4D06_12</vt:lpwstr>
  </property>
</Properties>
</file>